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7E4811">
              <w:rPr>
                <w:noProof/>
              </w:rPr>
            </w:r>
            <w:r w:rsidR="007E4811">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(v) attempting to obtain confidential information that may confer upon it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referred to in decisions of entities or persons being entrusted with any of SPREP’s donor budget implementation tasks;</w:t>
            </w:r>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2393801C"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lastRenderedPageBreak/>
              <w:t xml:space="preserve">it is subject to an exclusion decision of the World Bank and being listed on the website </w:t>
            </w:r>
            <w:hyperlink r:id="rId7" w:history="1">
              <w:r w:rsidR="007E4811" w:rsidRPr="007D5FAA">
                <w:rPr>
                  <w:rStyle w:val="Hyperlink"/>
                  <w:rFonts w:cstheme="minorHAnsi"/>
                  <w:sz w:val="22"/>
                  <w:szCs w:val="22"/>
                </w:rPr>
                <w:t>http://www.worldbank.org/debarr</w:t>
              </w:r>
            </w:hyperlink>
            <w:r w:rsidR="007E4811">
              <w:rPr>
                <w:rFonts w:cstheme="minorHAnsi"/>
                <w:sz w:val="22"/>
                <w:szCs w:val="22"/>
              </w:rPr>
              <w:t xml:space="preserve"> </w:t>
            </w:r>
            <w:r w:rsidRPr="005414B8">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II – Situations of exclusion concerning natural or legal persons with power of representation, decision-making or control over the legal person and beneficial owners</w:t>
      </w:r>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lastRenderedPageBreak/>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7E4811">
              <w:rPr>
                <w:noProof/>
              </w:rPr>
            </w:r>
            <w:r w:rsidR="007E4811">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w:t>
      </w:r>
      <w:proofErr w:type="spellStart"/>
      <w:r w:rsidRPr="005414B8">
        <w:t>i</w:t>
      </w:r>
      <w:proofErr w:type="spellEnd"/>
      <w:r w:rsidRPr="005414B8">
        <w:t>)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lastRenderedPageBreak/>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3. The person commits to comply with and ensure that all of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facilitated or taken part in such Acts. Act of Terrorism meaning: (</w:t>
      </w:r>
      <w:proofErr w:type="spellStart"/>
      <w:r w:rsidRPr="005414B8">
        <w:t>i</w:t>
      </w:r>
      <w:proofErr w:type="spellEnd"/>
      <w:r w:rsidRPr="005414B8">
        <w:t>)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lastRenderedPageBreak/>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4811">
              <w:rPr>
                <w:noProof/>
              </w:rPr>
            </w:r>
            <w:r w:rsidR="007E4811">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A201" w14:textId="77777777" w:rsidR="003808CF" w:rsidRDefault="003808CF" w:rsidP="00EE786B">
      <w:r>
        <w:separator/>
      </w:r>
    </w:p>
  </w:endnote>
  <w:endnote w:type="continuationSeparator" w:id="0">
    <w:p w14:paraId="7BD1AC3F" w14:textId="77777777" w:rsidR="003808CF" w:rsidRDefault="003808CF"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BBA0" w14:textId="77777777" w:rsidR="003808CF" w:rsidRDefault="003808CF" w:rsidP="00EE786B">
      <w:r>
        <w:separator/>
      </w:r>
    </w:p>
  </w:footnote>
  <w:footnote w:type="continuationSeparator" w:id="0">
    <w:p w14:paraId="52D879E0" w14:textId="77777777" w:rsidR="003808CF" w:rsidRDefault="003808CF"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E7C8E"/>
    <w:rsid w:val="007E4811"/>
    <w:rsid w:val="008C1736"/>
    <w:rsid w:val="009F5F90"/>
    <w:rsid w:val="00A0134F"/>
    <w:rsid w:val="00A253B5"/>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 w:type="character" w:styleId="UnresolvedMention">
    <w:name w:val="Unresolved Mention"/>
    <w:basedOn w:val="DefaultParagraphFont"/>
    <w:uiPriority w:val="99"/>
    <w:semiHidden/>
    <w:unhideWhenUsed/>
    <w:rsid w:val="007E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bank.org/deb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2755</Words>
  <Characters>15708</Characters>
  <Application>Microsoft Office Word</Application>
  <DocSecurity>0</DocSecurity>
  <Lines>130</Lines>
  <Paragraphs>36</Paragraphs>
  <ScaleCrop>false</ScaleCrop>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France Gautrais</cp:lastModifiedBy>
  <cp:revision>6</cp:revision>
  <dcterms:created xsi:type="dcterms:W3CDTF">2022-09-05T23:35:00Z</dcterms:created>
  <dcterms:modified xsi:type="dcterms:W3CDTF">2026-06-16T02:57:00Z</dcterms:modified>
</cp:coreProperties>
</file>